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F1" w:rsidRDefault="00EB3EB2" w:rsidP="001A03E3">
      <w:pPr>
        <w:spacing w:before="100" w:beforeAutospacing="1" w:after="100" w:afterAutospacing="1" w:line="240" w:lineRule="auto"/>
        <w:jc w:val="center"/>
        <w:rPr>
          <w:rFonts w:ascii="Helvetica" w:eastAsia="Times New Roman" w:hAnsi="Helvetica" w:cs="Helvetica"/>
          <w:color w:val="222222"/>
          <w:sz w:val="23"/>
          <w:szCs w:val="23"/>
        </w:rPr>
      </w:pPr>
      <w:r>
        <w:rPr>
          <w:rFonts w:ascii="Helvetica" w:eastAsia="Times New Roman" w:hAnsi="Helvetica" w:cs="Helvetica"/>
          <w:color w:val="222222"/>
          <w:sz w:val="23"/>
          <w:szCs w:val="23"/>
        </w:rPr>
        <w:t>NGN</w:t>
      </w:r>
    </w:p>
    <w:p w:rsidR="00B21ABF" w:rsidRDefault="00EB3EB2" w:rsidP="001A03E3">
      <w:pPr>
        <w:spacing w:before="100" w:beforeAutospacing="1" w:after="100" w:afterAutospacing="1" w:line="240" w:lineRule="auto"/>
        <w:jc w:val="center"/>
        <w:rPr>
          <w:rFonts w:ascii="Helvetica" w:eastAsia="Times New Roman" w:hAnsi="Helvetica" w:cs="Helvetica"/>
          <w:color w:val="222222"/>
          <w:sz w:val="23"/>
          <w:szCs w:val="23"/>
        </w:rPr>
      </w:pPr>
      <w:r>
        <w:rPr>
          <w:rFonts w:ascii="Helvetica" w:eastAsia="Times New Roman" w:hAnsi="Helvetica" w:cs="Helvetica"/>
          <w:color w:val="222222"/>
          <w:sz w:val="23"/>
          <w:szCs w:val="23"/>
        </w:rPr>
        <w:t xml:space="preserve">Disclosure Statement per FCC </w:t>
      </w:r>
      <w:r w:rsidR="00B815F4">
        <w:rPr>
          <w:rFonts w:ascii="Helvetica" w:eastAsia="Times New Roman" w:hAnsi="Helvetica" w:cs="Helvetica"/>
          <w:color w:val="222222"/>
          <w:sz w:val="23"/>
          <w:szCs w:val="23"/>
        </w:rPr>
        <w:t>Restoring Internet Freedom Order</w:t>
      </w:r>
    </w:p>
    <w:p w:rsidR="00B21ABF" w:rsidRPr="00B21ABF" w:rsidRDefault="00637199" w:rsidP="00BA0732">
      <w:pPr>
        <w:spacing w:before="100" w:beforeAutospacing="1" w:after="100" w:afterAutospacing="1" w:line="240" w:lineRule="auto"/>
        <w:rPr>
          <w:rFonts w:ascii="Helvetica" w:eastAsia="Times New Roman" w:hAnsi="Helvetica" w:cs="Helvetica"/>
          <w:color w:val="222222"/>
          <w:sz w:val="23"/>
          <w:szCs w:val="23"/>
        </w:rPr>
      </w:pPr>
      <w:r>
        <w:rPr>
          <w:rFonts w:ascii="Helvetica" w:eastAsia="Times New Roman" w:hAnsi="Helvetica" w:cs="Helvetica"/>
          <w:color w:val="222222"/>
          <w:sz w:val="23"/>
          <w:szCs w:val="23"/>
        </w:rPr>
        <w:t>This document addresses</w:t>
      </w:r>
      <w:r w:rsidR="00B21ABF" w:rsidRPr="00B21ABF">
        <w:rPr>
          <w:rFonts w:ascii="Helvetica" w:eastAsia="Times New Roman" w:hAnsi="Helvetica" w:cs="Helvetica"/>
          <w:color w:val="222222"/>
          <w:sz w:val="23"/>
          <w:szCs w:val="23"/>
        </w:rPr>
        <w:t xml:space="preserve"> the categories of information listed in paragraphs 218 – 223 of the </w:t>
      </w:r>
      <w:hyperlink r:id="rId5" w:history="1">
        <w:r w:rsidR="00B21ABF" w:rsidRPr="00B21ABF">
          <w:rPr>
            <w:rFonts w:ascii="Helvetica" w:eastAsia="Times New Roman" w:hAnsi="Helvetica" w:cs="Helvetica"/>
            <w:i/>
            <w:iCs/>
            <w:color w:val="2C75D6"/>
            <w:sz w:val="23"/>
            <w:szCs w:val="23"/>
          </w:rPr>
          <w:t>Restoring Internet Freedom Order</w:t>
        </w:r>
      </w:hyperlink>
      <w:r w:rsidR="00B21ABF" w:rsidRPr="00B21ABF">
        <w:rPr>
          <w:rFonts w:ascii="Helvetica" w:eastAsia="Times New Roman" w:hAnsi="Helvetica" w:cs="Helvetica"/>
          <w:color w:val="222222"/>
          <w:sz w:val="23"/>
          <w:szCs w:val="23"/>
        </w:rPr>
        <w:t xml:space="preserve"> – Network Management Practices, Performance Characteristics, and Commercial Terms.  If </w:t>
      </w:r>
      <w:r w:rsidR="008F10F4">
        <w:rPr>
          <w:rFonts w:ascii="Helvetica" w:eastAsia="Times New Roman" w:hAnsi="Helvetica" w:cs="Helvetica"/>
          <w:color w:val="222222"/>
          <w:sz w:val="23"/>
          <w:szCs w:val="23"/>
        </w:rPr>
        <w:t>our</w:t>
      </w:r>
      <w:r w:rsidR="00B21ABF" w:rsidRPr="00B21ABF">
        <w:rPr>
          <w:rFonts w:ascii="Helvetica" w:eastAsia="Times New Roman" w:hAnsi="Helvetica" w:cs="Helvetica"/>
          <w:color w:val="222222"/>
          <w:sz w:val="23"/>
          <w:szCs w:val="23"/>
        </w:rPr>
        <w:t xml:space="preserve"> ISP does not engage in a specific activity listed below, </w:t>
      </w:r>
      <w:r w:rsidR="008F10F4">
        <w:rPr>
          <w:rFonts w:ascii="Helvetica" w:eastAsia="Times New Roman" w:hAnsi="Helvetica" w:cs="Helvetica"/>
          <w:color w:val="222222"/>
          <w:sz w:val="23"/>
          <w:szCs w:val="23"/>
        </w:rPr>
        <w:t>it is marke</w:t>
      </w:r>
      <w:r w:rsidR="00BA0732">
        <w:rPr>
          <w:rFonts w:ascii="Helvetica" w:eastAsia="Times New Roman" w:hAnsi="Helvetica" w:cs="Helvetica"/>
          <w:color w:val="222222"/>
          <w:sz w:val="23"/>
          <w:szCs w:val="23"/>
        </w:rPr>
        <w:t>d</w:t>
      </w:r>
      <w:r w:rsidR="00B21ABF" w:rsidRPr="00B21ABF">
        <w:rPr>
          <w:rFonts w:ascii="Helvetica" w:eastAsia="Times New Roman" w:hAnsi="Helvetica" w:cs="Helvetica"/>
          <w:color w:val="222222"/>
          <w:sz w:val="23"/>
          <w:szCs w:val="23"/>
        </w:rPr>
        <w:t xml:space="preserve"> as “Not Applicable” in </w:t>
      </w:r>
      <w:r w:rsidR="00BA0732">
        <w:rPr>
          <w:rFonts w:ascii="Helvetica" w:eastAsia="Times New Roman" w:hAnsi="Helvetica" w:cs="Helvetica"/>
          <w:color w:val="222222"/>
          <w:sz w:val="23"/>
          <w:szCs w:val="23"/>
        </w:rPr>
        <w:t>this</w:t>
      </w:r>
      <w:r w:rsidR="00B21ABF" w:rsidRPr="00B21ABF">
        <w:rPr>
          <w:rFonts w:ascii="Helvetica" w:eastAsia="Times New Roman" w:hAnsi="Helvetica" w:cs="Helvetica"/>
          <w:color w:val="222222"/>
          <w:sz w:val="23"/>
          <w:szCs w:val="23"/>
        </w:rPr>
        <w:t xml:space="preserve"> disclosure.</w:t>
      </w:r>
    </w:p>
    <w:p w:rsidR="00B21ABF" w:rsidRPr="00B21ABF" w:rsidRDefault="00B21ABF" w:rsidP="00B21ABF">
      <w:pPr>
        <w:numPr>
          <w:ilvl w:val="0"/>
          <w:numId w:val="2"/>
        </w:numPr>
        <w:spacing w:before="100" w:beforeAutospacing="1" w:after="100" w:afterAutospacing="1" w:line="240" w:lineRule="auto"/>
        <w:ind w:left="288"/>
        <w:rPr>
          <w:rFonts w:ascii="Helvetica" w:eastAsia="Times New Roman" w:hAnsi="Helvetica" w:cs="Helvetica"/>
          <w:color w:val="222222"/>
          <w:sz w:val="23"/>
          <w:szCs w:val="23"/>
        </w:rPr>
      </w:pPr>
      <w:r w:rsidRPr="00B21ABF">
        <w:rPr>
          <w:rFonts w:ascii="Helvetica" w:eastAsia="Times New Roman" w:hAnsi="Helvetica" w:cs="Helvetica"/>
          <w:color w:val="222222"/>
          <w:sz w:val="23"/>
          <w:szCs w:val="23"/>
        </w:rPr>
        <w:t>Network Management Practices</w:t>
      </w:r>
    </w:p>
    <w:p w:rsidR="00D4685A" w:rsidRDefault="00B21ABF" w:rsidP="00D4685A">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Blocking.</w:t>
      </w:r>
      <w:r w:rsidRPr="00B21ABF">
        <w:rPr>
          <w:rFonts w:ascii="Helvetica" w:eastAsia="Times New Roman" w:hAnsi="Helvetica" w:cs="Helvetica"/>
          <w:color w:val="222222"/>
          <w:sz w:val="23"/>
          <w:szCs w:val="23"/>
        </w:rPr>
        <w:t>  Any practice (other than reasonable network management elsewhere disclosed) that blocks or otherwise prevents end user access to lawful content, applications, service, or non-harmful devices, including a description of what is blocked.</w:t>
      </w:r>
    </w:p>
    <w:p w:rsidR="00B21ABF" w:rsidRPr="00D4685A" w:rsidRDefault="009B7A39" w:rsidP="004A4914">
      <w:pPr>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Throttling.</w:t>
      </w:r>
      <w:r w:rsidRPr="00B21ABF">
        <w:rPr>
          <w:rFonts w:ascii="Helvetica" w:eastAsia="Times New Roman" w:hAnsi="Helvetica" w:cs="Helvetica"/>
          <w:color w:val="222222"/>
          <w:sz w:val="23"/>
          <w:szCs w:val="23"/>
        </w:rPr>
        <w:t>  Any practice (other than reasonable network management elsewhere disclosed) that degrades or impairs access to lawful Internet traffic on the basis of content, application, service, user, or use of a non-harmful device, including a description of what is throttled.</w:t>
      </w:r>
    </w:p>
    <w:p w:rsidR="009B7A39" w:rsidRPr="009B7A39"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Affiliated Prioritization.</w:t>
      </w:r>
      <w:r w:rsidRPr="00B21ABF">
        <w:rPr>
          <w:rFonts w:ascii="Helvetica" w:eastAsia="Times New Roman" w:hAnsi="Helvetica" w:cs="Helvetica"/>
          <w:color w:val="222222"/>
          <w:sz w:val="23"/>
          <w:szCs w:val="23"/>
        </w:rPr>
        <w:t>  Any practice that directly or indirectly favors some traffic over other traffic, including through use of techniques such as traffic shaping, prioritization, or resource reservation, to benefit an affiliate, including identification of the affiliate.</w:t>
      </w:r>
    </w:p>
    <w:p w:rsidR="009B7A39" w:rsidRPr="009B7A39"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Paid Prioritization.</w:t>
      </w:r>
      <w:r w:rsidRPr="00B21ABF">
        <w:rPr>
          <w:rFonts w:ascii="Helvetica" w:eastAsia="Times New Roman" w:hAnsi="Helvetica" w:cs="Helvetica"/>
          <w:color w:val="222222"/>
          <w:sz w:val="23"/>
          <w:szCs w:val="23"/>
        </w:rPr>
        <w:t>  Any practice that directly or indirectly favors some traffic over other traffic, including through use of techniques such as traffic shaping, prioritization, or resource reservation, in exchange for consideration, monetary or otherwise.</w:t>
      </w:r>
    </w:p>
    <w:p w:rsidR="00B21ABF" w:rsidRPr="009B7A39"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Congestion Management</w:t>
      </w:r>
      <w:r w:rsidRPr="00B21ABF">
        <w:rPr>
          <w:rFonts w:ascii="Helvetica" w:eastAsia="Times New Roman" w:hAnsi="Helvetica" w:cs="Helvetica"/>
          <w:color w:val="222222"/>
          <w:sz w:val="23"/>
          <w:szCs w:val="23"/>
        </w:rPr>
        <w:t>.  Descriptions of congestion management practices, if any.  These descriptions should include the types of traffic subject to the practices; the purposes served by the practices; the practices’ effects on end users’ experience; criteria used in practices, such as indicators of congestion that trigger a practice, including any usage limits triggering the practice, and the typical frequency of congestion; usage limits and the consequences of exceeding them; and references to engineering standards, where appropriate.</w:t>
      </w:r>
    </w:p>
    <w:p w:rsidR="009B7A39" w:rsidRPr="009B7A39"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Application-Specific Behavior</w:t>
      </w:r>
      <w:r w:rsidRPr="00B21ABF">
        <w:rPr>
          <w:rFonts w:ascii="Helvetica" w:eastAsia="Times New Roman" w:hAnsi="Helvetica" w:cs="Helvetica"/>
          <w:color w:val="222222"/>
          <w:sz w:val="23"/>
          <w:szCs w:val="23"/>
        </w:rPr>
        <w:t>.  Whether and why the ISP blocks or rate-controls specific protocols or protocol ports, modifies protocol fields in ways not prescribed by the protocol standard, or otherwise inhibits or favors certain applications or classes of applications.</w:t>
      </w:r>
    </w:p>
    <w:p w:rsidR="00D4685A" w:rsidRDefault="00D4685A" w:rsidP="004A4914">
      <w:pPr>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iCs/>
          <w:color w:val="2F5496" w:themeColor="accent1" w:themeShade="BF"/>
          <w:sz w:val="23"/>
          <w:szCs w:val="23"/>
        </w:rPr>
        <w:t>Not Applicable</w:t>
      </w:r>
    </w:p>
    <w:p w:rsidR="00B21ABF" w:rsidRDefault="00B21ABF" w:rsidP="00B21ABF">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Device Attachment Rules</w:t>
      </w:r>
      <w:r w:rsidRPr="00B21ABF">
        <w:rPr>
          <w:rFonts w:ascii="Helvetica" w:eastAsia="Times New Roman" w:hAnsi="Helvetica" w:cs="Helvetica"/>
          <w:color w:val="222222"/>
          <w:sz w:val="23"/>
          <w:szCs w:val="23"/>
        </w:rPr>
        <w:t>.  Any restrictions on the types of devices and any approval procedures for devices to connect to the network.</w:t>
      </w:r>
    </w:p>
    <w:p w:rsidR="00B21ABF" w:rsidRPr="009B7A39"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22222"/>
          <w:sz w:val="23"/>
          <w:szCs w:val="23"/>
        </w:rPr>
      </w:pPr>
      <w:r w:rsidRPr="004A4914">
        <w:rPr>
          <w:rFonts w:ascii="Helvetica" w:eastAsia="Times New Roman" w:hAnsi="Helvetica" w:cs="Helvetica"/>
          <w:color w:val="2F5496" w:themeColor="accent1" w:themeShade="BF"/>
          <w:sz w:val="23"/>
          <w:szCs w:val="23"/>
        </w:rPr>
        <w:t>Not Applicable</w:t>
      </w:r>
    </w:p>
    <w:p w:rsidR="00B21ABF" w:rsidRDefault="00B21ABF" w:rsidP="009B7A39">
      <w:pPr>
        <w:numPr>
          <w:ilvl w:val="0"/>
          <w:numId w:val="3"/>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Security</w:t>
      </w:r>
      <w:r w:rsidRPr="00B21ABF">
        <w:rPr>
          <w:rFonts w:ascii="Helvetica" w:eastAsia="Times New Roman" w:hAnsi="Helvetica" w:cs="Helvetica"/>
          <w:color w:val="222222"/>
          <w:sz w:val="23"/>
          <w:szCs w:val="23"/>
        </w:rPr>
        <w:t>.  Any practices used to ensure end-user security or security of the network, including types of triggering conditions that cause a mechanism to be invoked (but excluding information that could reasonably be used to circumvent network security).</w:t>
      </w:r>
    </w:p>
    <w:p w:rsidR="009B7A39" w:rsidRPr="004A4914" w:rsidRDefault="009B7A39" w:rsidP="004A4914">
      <w:pPr>
        <w:pStyle w:val="ListParagraph"/>
        <w:numPr>
          <w:ilvl w:val="1"/>
          <w:numId w:val="3"/>
        </w:numPr>
        <w:spacing w:before="100" w:beforeAutospacing="1" w:after="100" w:afterAutospacing="1" w:line="240" w:lineRule="auto"/>
        <w:rPr>
          <w:rFonts w:ascii="Helvetica" w:eastAsia="Times New Roman" w:hAnsi="Helvetica" w:cs="Helvetica"/>
          <w:color w:val="2F5496" w:themeColor="accent1" w:themeShade="BF"/>
          <w:sz w:val="23"/>
          <w:szCs w:val="23"/>
        </w:rPr>
      </w:pPr>
      <w:r w:rsidRPr="004A4914">
        <w:rPr>
          <w:rFonts w:ascii="Helvetica" w:eastAsia="Times New Roman" w:hAnsi="Helvetica" w:cs="Helvetica"/>
          <w:color w:val="2F5496" w:themeColor="accent1" w:themeShade="BF"/>
          <w:sz w:val="23"/>
          <w:szCs w:val="23"/>
        </w:rPr>
        <w:t>Not Applicable</w:t>
      </w:r>
    </w:p>
    <w:p w:rsidR="00B21ABF" w:rsidRPr="00B21ABF" w:rsidRDefault="00B21ABF" w:rsidP="00B21ABF">
      <w:pPr>
        <w:numPr>
          <w:ilvl w:val="0"/>
          <w:numId w:val="4"/>
        </w:numPr>
        <w:spacing w:before="100" w:beforeAutospacing="1" w:after="100" w:afterAutospacing="1" w:line="240" w:lineRule="auto"/>
        <w:ind w:left="288"/>
        <w:rPr>
          <w:rFonts w:ascii="Helvetica" w:eastAsia="Times New Roman" w:hAnsi="Helvetica" w:cs="Helvetica"/>
          <w:color w:val="222222"/>
          <w:sz w:val="23"/>
          <w:szCs w:val="23"/>
        </w:rPr>
      </w:pPr>
      <w:r w:rsidRPr="00B21ABF">
        <w:rPr>
          <w:rFonts w:ascii="Helvetica" w:eastAsia="Times New Roman" w:hAnsi="Helvetica" w:cs="Helvetica"/>
          <w:color w:val="222222"/>
          <w:sz w:val="23"/>
          <w:szCs w:val="23"/>
        </w:rPr>
        <w:t>Performance Characteristics</w:t>
      </w:r>
    </w:p>
    <w:p w:rsidR="00B21ABF" w:rsidRDefault="00B21ABF" w:rsidP="00B21ABF">
      <w:pPr>
        <w:numPr>
          <w:ilvl w:val="0"/>
          <w:numId w:val="5"/>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Service Description</w:t>
      </w:r>
      <w:r w:rsidRPr="00B21ABF">
        <w:rPr>
          <w:rFonts w:ascii="Helvetica" w:eastAsia="Times New Roman" w:hAnsi="Helvetica" w:cs="Helvetica"/>
          <w:color w:val="222222"/>
          <w:sz w:val="23"/>
          <w:szCs w:val="23"/>
        </w:rPr>
        <w:t>.  A general description of the service, including the service technology, expected and actual access speed and latency, and the suitability of the service for real-time applications.</w:t>
      </w:r>
    </w:p>
    <w:p w:rsidR="000930C6" w:rsidRPr="001A7CE2" w:rsidRDefault="000930C6" w:rsidP="001A7CE2">
      <w:pPr>
        <w:numPr>
          <w:ilvl w:val="1"/>
          <w:numId w:val="3"/>
        </w:numPr>
        <w:spacing w:before="100" w:beforeAutospacing="1" w:after="100" w:afterAutospacing="1" w:line="240" w:lineRule="auto"/>
        <w:rPr>
          <w:rFonts w:ascii="Helvetica" w:eastAsia="Times New Roman" w:hAnsi="Helvetica" w:cs="Helvetica"/>
          <w:iCs/>
          <w:color w:val="2F5496" w:themeColor="accent1" w:themeShade="BF"/>
          <w:sz w:val="23"/>
          <w:szCs w:val="23"/>
        </w:rPr>
      </w:pPr>
      <w:r w:rsidRPr="001A7CE2">
        <w:rPr>
          <w:rFonts w:ascii="Helvetica" w:eastAsia="Times New Roman" w:hAnsi="Helvetica" w:cs="Helvetica"/>
          <w:iCs/>
          <w:color w:val="2F5496" w:themeColor="accent1" w:themeShade="BF"/>
          <w:sz w:val="23"/>
          <w:szCs w:val="23"/>
        </w:rPr>
        <w:t>NGN offers internet service to residential and small business subscribers up to 1Gbps through a 100% fiber to the home network.  NGN has both Active Ethernet and GPON fiber networks deployed to deliver up to 1Gbps of service</w:t>
      </w:r>
      <w:r w:rsidR="00D4685A" w:rsidRPr="001A7CE2">
        <w:rPr>
          <w:rFonts w:ascii="Helvetica" w:eastAsia="Times New Roman" w:hAnsi="Helvetica" w:cs="Helvetica"/>
          <w:iCs/>
          <w:color w:val="2F5496" w:themeColor="accent1" w:themeShade="BF"/>
          <w:sz w:val="23"/>
          <w:szCs w:val="23"/>
        </w:rPr>
        <w:t xml:space="preserve"> and all subscribers should expect to receive the amount of bandwidth they are paying for regardless of the time of day</w:t>
      </w:r>
      <w:r w:rsidRPr="001A7CE2">
        <w:rPr>
          <w:rFonts w:ascii="Helvetica" w:eastAsia="Times New Roman" w:hAnsi="Helvetica" w:cs="Helvetica"/>
          <w:iCs/>
          <w:color w:val="2F5496" w:themeColor="accent1" w:themeShade="BF"/>
          <w:sz w:val="23"/>
          <w:szCs w:val="23"/>
        </w:rPr>
        <w:t>.  NGN can deliver up to 100Gbps of internet connectivity through specialized equipment on a case by case basis for any customer requesting such service.</w:t>
      </w:r>
    </w:p>
    <w:p w:rsidR="00B21ABF" w:rsidRPr="00B21ABF" w:rsidRDefault="00B21ABF" w:rsidP="004A4914">
      <w:pPr>
        <w:spacing w:before="100" w:beforeAutospacing="1" w:after="100" w:afterAutospacing="1" w:line="240" w:lineRule="auto"/>
        <w:ind w:left="1440"/>
        <w:rPr>
          <w:rFonts w:ascii="Helvetica" w:eastAsia="Times New Roman" w:hAnsi="Helvetica" w:cs="Helvetica"/>
          <w:color w:val="222222"/>
          <w:sz w:val="23"/>
          <w:szCs w:val="23"/>
        </w:rPr>
      </w:pPr>
    </w:p>
    <w:p w:rsidR="00B21ABF" w:rsidRDefault="00B21ABF" w:rsidP="00D4685A">
      <w:pPr>
        <w:numPr>
          <w:ilvl w:val="0"/>
          <w:numId w:val="5"/>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Impact of Non-Broadband Internet Access Service Data Services</w:t>
      </w:r>
      <w:r w:rsidRPr="00B21ABF">
        <w:rPr>
          <w:rFonts w:ascii="Helvetica" w:eastAsia="Times New Roman" w:hAnsi="Helvetica" w:cs="Helvetica"/>
          <w:color w:val="222222"/>
          <w:sz w:val="23"/>
          <w:szCs w:val="23"/>
        </w:rPr>
        <w:t>.  If applicable, what non-broadband Internet access service data services, if any, are offered to end users, and whether and how any non-broadband Internet access service data services may affect the last-mile capacity available for, and the performance of, broadband Internet access service</w:t>
      </w:r>
      <w:r w:rsidR="00D4685A">
        <w:rPr>
          <w:rFonts w:ascii="Helvetica" w:eastAsia="Times New Roman" w:hAnsi="Helvetica" w:cs="Helvetica"/>
          <w:color w:val="222222"/>
          <w:sz w:val="23"/>
          <w:szCs w:val="23"/>
        </w:rPr>
        <w:t>.</w:t>
      </w:r>
    </w:p>
    <w:p w:rsidR="00D4685A" w:rsidRPr="004A4914" w:rsidRDefault="00D4685A" w:rsidP="004A4914">
      <w:pPr>
        <w:numPr>
          <w:ilvl w:val="1"/>
          <w:numId w:val="5"/>
        </w:numPr>
        <w:spacing w:before="100" w:beforeAutospacing="1" w:after="100" w:afterAutospacing="1" w:line="240" w:lineRule="auto"/>
        <w:rPr>
          <w:rFonts w:ascii="Helvetica" w:eastAsia="Times New Roman" w:hAnsi="Helvetica" w:cs="Helvetica"/>
          <w:color w:val="2F5496" w:themeColor="accent1" w:themeShade="BF"/>
          <w:sz w:val="23"/>
          <w:szCs w:val="23"/>
        </w:rPr>
      </w:pPr>
      <w:r w:rsidRPr="004A4914">
        <w:rPr>
          <w:rFonts w:ascii="Helvetica" w:eastAsia="Times New Roman" w:hAnsi="Helvetica" w:cs="Helvetica"/>
          <w:iCs/>
          <w:color w:val="2F5496" w:themeColor="accent1" w:themeShade="BF"/>
          <w:sz w:val="23"/>
          <w:szCs w:val="23"/>
        </w:rPr>
        <w:t>Not Applicable</w:t>
      </w:r>
    </w:p>
    <w:p w:rsidR="00B21ABF" w:rsidRPr="00B21ABF" w:rsidRDefault="00B21ABF" w:rsidP="00B21ABF">
      <w:pPr>
        <w:numPr>
          <w:ilvl w:val="0"/>
          <w:numId w:val="6"/>
        </w:numPr>
        <w:spacing w:before="100" w:beforeAutospacing="1" w:after="100" w:afterAutospacing="1" w:line="240" w:lineRule="auto"/>
        <w:ind w:left="288"/>
        <w:rPr>
          <w:rFonts w:ascii="Helvetica" w:eastAsia="Times New Roman" w:hAnsi="Helvetica" w:cs="Helvetica"/>
          <w:color w:val="222222"/>
          <w:sz w:val="23"/>
          <w:szCs w:val="23"/>
        </w:rPr>
      </w:pPr>
      <w:r w:rsidRPr="00B21ABF">
        <w:rPr>
          <w:rFonts w:ascii="Helvetica" w:eastAsia="Times New Roman" w:hAnsi="Helvetica" w:cs="Helvetica"/>
          <w:color w:val="222222"/>
          <w:sz w:val="23"/>
          <w:szCs w:val="23"/>
        </w:rPr>
        <w:t>Commercial Terms</w:t>
      </w:r>
    </w:p>
    <w:p w:rsidR="00B21ABF" w:rsidRDefault="00B21ABF" w:rsidP="00B21ABF">
      <w:pPr>
        <w:numPr>
          <w:ilvl w:val="0"/>
          <w:numId w:val="7"/>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Price</w:t>
      </w:r>
      <w:r w:rsidRPr="00B21ABF">
        <w:rPr>
          <w:rFonts w:ascii="Helvetica" w:eastAsia="Times New Roman" w:hAnsi="Helvetica" w:cs="Helvetica"/>
          <w:color w:val="222222"/>
          <w:sz w:val="23"/>
          <w:szCs w:val="23"/>
        </w:rPr>
        <w:t>.  For example, monthly prices, usage-based fees, and fees for early termination or additional network services.</w:t>
      </w:r>
    </w:p>
    <w:p w:rsidR="004A4914" w:rsidRPr="001A7CE2" w:rsidRDefault="004C353F" w:rsidP="001A7CE2">
      <w:pPr>
        <w:numPr>
          <w:ilvl w:val="1"/>
          <w:numId w:val="3"/>
        </w:numPr>
        <w:spacing w:before="100" w:beforeAutospacing="1" w:after="100" w:afterAutospacing="1" w:line="240" w:lineRule="auto"/>
        <w:rPr>
          <w:rFonts w:ascii="Helvetica" w:eastAsia="Times New Roman" w:hAnsi="Helvetica" w:cs="Helvetica"/>
          <w:iCs/>
          <w:color w:val="2F5496" w:themeColor="accent1" w:themeShade="BF"/>
          <w:sz w:val="23"/>
          <w:szCs w:val="23"/>
        </w:rPr>
      </w:pPr>
      <w:r w:rsidRPr="001A7CE2">
        <w:rPr>
          <w:rFonts w:ascii="Helvetica" w:eastAsia="Times New Roman" w:hAnsi="Helvetica" w:cs="Helvetica"/>
          <w:iCs/>
          <w:color w:val="2F5496" w:themeColor="accent1" w:themeShade="BF"/>
          <w:sz w:val="23"/>
          <w:szCs w:val="23"/>
        </w:rPr>
        <w:t xml:space="preserve">Early Termination fees </w:t>
      </w:r>
      <w:r w:rsidR="00F10DF1">
        <w:rPr>
          <w:rFonts w:ascii="Helvetica" w:eastAsia="Times New Roman" w:hAnsi="Helvetica" w:cs="Helvetica"/>
          <w:iCs/>
          <w:color w:val="2F5496" w:themeColor="accent1" w:themeShade="BF"/>
          <w:sz w:val="23"/>
          <w:szCs w:val="23"/>
        </w:rPr>
        <w:t xml:space="preserve">for wholesale customers </w:t>
      </w:r>
      <w:r w:rsidRPr="001A7CE2">
        <w:rPr>
          <w:rFonts w:ascii="Helvetica" w:eastAsia="Times New Roman" w:hAnsi="Helvetica" w:cs="Helvetica"/>
          <w:iCs/>
          <w:color w:val="2F5496" w:themeColor="accent1" w:themeShade="BF"/>
          <w:sz w:val="23"/>
          <w:szCs w:val="23"/>
        </w:rPr>
        <w:t xml:space="preserve">typically entail the monthly contracted payment amount times the remaining months left in the contract.  </w:t>
      </w:r>
    </w:p>
    <w:p w:rsidR="00F10DF1" w:rsidRDefault="00F10DF1" w:rsidP="001A7CE2">
      <w:pPr>
        <w:numPr>
          <w:ilvl w:val="1"/>
          <w:numId w:val="3"/>
        </w:numPr>
        <w:spacing w:before="100" w:beforeAutospacing="1" w:after="100" w:afterAutospacing="1" w:line="240" w:lineRule="auto"/>
        <w:rPr>
          <w:rFonts w:ascii="Helvetica" w:eastAsia="Times New Roman" w:hAnsi="Helvetica" w:cs="Helvetica"/>
          <w:iCs/>
          <w:color w:val="2F5496" w:themeColor="accent1" w:themeShade="BF"/>
          <w:sz w:val="23"/>
          <w:szCs w:val="23"/>
        </w:rPr>
      </w:pPr>
      <w:r>
        <w:rPr>
          <w:rFonts w:ascii="Helvetica" w:eastAsia="Times New Roman" w:hAnsi="Helvetica" w:cs="Helvetica"/>
          <w:iCs/>
          <w:color w:val="2F5496" w:themeColor="accent1" w:themeShade="BF"/>
          <w:sz w:val="23"/>
          <w:szCs w:val="23"/>
        </w:rPr>
        <w:t>NGN is a member-owned cooperative and provides wholesale bandwidth to its members for resale to their customers.</w:t>
      </w:r>
    </w:p>
    <w:p w:rsidR="004C353F" w:rsidRDefault="00F10DF1" w:rsidP="001A7CE2">
      <w:pPr>
        <w:numPr>
          <w:ilvl w:val="1"/>
          <w:numId w:val="3"/>
        </w:numPr>
        <w:spacing w:before="100" w:beforeAutospacing="1" w:after="100" w:afterAutospacing="1" w:line="240" w:lineRule="auto"/>
        <w:rPr>
          <w:rFonts w:ascii="Helvetica" w:eastAsia="Times New Roman" w:hAnsi="Helvetica" w:cs="Helvetica"/>
          <w:iCs/>
          <w:color w:val="2F5496" w:themeColor="accent1" w:themeShade="BF"/>
          <w:sz w:val="23"/>
          <w:szCs w:val="23"/>
        </w:rPr>
      </w:pPr>
      <w:r>
        <w:rPr>
          <w:rFonts w:ascii="Helvetica" w:eastAsia="Times New Roman" w:hAnsi="Helvetica" w:cs="Helvetica"/>
          <w:iCs/>
          <w:color w:val="2F5496" w:themeColor="accent1" w:themeShade="BF"/>
          <w:sz w:val="23"/>
          <w:szCs w:val="23"/>
        </w:rPr>
        <w:t>NGN does have non-member revenue which is comprised of wholesale private line circuits and dark fiber.</w:t>
      </w:r>
      <w:r w:rsidR="004C353F" w:rsidRPr="001A7CE2">
        <w:rPr>
          <w:rFonts w:ascii="Helvetica" w:eastAsia="Times New Roman" w:hAnsi="Helvetica" w:cs="Helvetica"/>
          <w:iCs/>
          <w:color w:val="2F5496" w:themeColor="accent1" w:themeShade="BF"/>
          <w:sz w:val="23"/>
          <w:szCs w:val="23"/>
        </w:rPr>
        <w:t xml:space="preserve"> </w:t>
      </w:r>
    </w:p>
    <w:p w:rsidR="00F10DF1" w:rsidRPr="001A7CE2" w:rsidRDefault="00F10DF1" w:rsidP="001A7CE2">
      <w:pPr>
        <w:numPr>
          <w:ilvl w:val="1"/>
          <w:numId w:val="3"/>
        </w:numPr>
        <w:spacing w:before="100" w:beforeAutospacing="1" w:after="100" w:afterAutospacing="1" w:line="240" w:lineRule="auto"/>
        <w:rPr>
          <w:rFonts w:ascii="Helvetica" w:eastAsia="Times New Roman" w:hAnsi="Helvetica" w:cs="Helvetica"/>
          <w:iCs/>
          <w:color w:val="2F5496" w:themeColor="accent1" w:themeShade="BF"/>
          <w:sz w:val="23"/>
          <w:szCs w:val="23"/>
        </w:rPr>
      </w:pPr>
      <w:r>
        <w:rPr>
          <w:rFonts w:ascii="Helvetica" w:eastAsia="Times New Roman" w:hAnsi="Helvetica" w:cs="Helvetica"/>
          <w:iCs/>
          <w:color w:val="2F5496" w:themeColor="accent1" w:themeShade="BF"/>
          <w:sz w:val="23"/>
          <w:szCs w:val="23"/>
        </w:rPr>
        <w:t xml:space="preserve">Further detail on pricing may be </w:t>
      </w:r>
      <w:r w:rsidR="00FC14A0">
        <w:rPr>
          <w:rFonts w:ascii="Helvetica" w:eastAsia="Times New Roman" w:hAnsi="Helvetica" w:cs="Helvetica"/>
          <w:iCs/>
          <w:color w:val="2F5496" w:themeColor="accent1" w:themeShade="BF"/>
          <w:sz w:val="23"/>
          <w:szCs w:val="23"/>
        </w:rPr>
        <w:t xml:space="preserve">obtained by calling our Corporate Office at 706-754-5323. </w:t>
      </w:r>
    </w:p>
    <w:p w:rsidR="004C353F" w:rsidRPr="004C353F" w:rsidRDefault="004C353F" w:rsidP="004C353F">
      <w:pPr>
        <w:pStyle w:val="ListParagraph"/>
        <w:spacing w:after="0" w:line="240" w:lineRule="auto"/>
        <w:ind w:left="2160"/>
        <w:textAlignment w:val="baseline"/>
        <w:outlineLvl w:val="1"/>
        <w:rPr>
          <w:rFonts w:ascii="Arial" w:eastAsia="Times New Roman" w:hAnsi="Arial" w:cs="Arial"/>
          <w:b/>
          <w:bCs/>
          <w:color w:val="2F5496" w:themeColor="accent1" w:themeShade="BF"/>
          <w:sz w:val="20"/>
          <w:szCs w:val="20"/>
        </w:rPr>
      </w:pPr>
    </w:p>
    <w:p w:rsidR="00B21ABF" w:rsidRDefault="00B21ABF" w:rsidP="00B21ABF">
      <w:pPr>
        <w:numPr>
          <w:ilvl w:val="0"/>
          <w:numId w:val="7"/>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Privacy Policies</w:t>
      </w:r>
      <w:r w:rsidRPr="00B21ABF">
        <w:rPr>
          <w:rFonts w:ascii="Helvetica" w:eastAsia="Times New Roman" w:hAnsi="Helvetica" w:cs="Helvetica"/>
          <w:color w:val="222222"/>
          <w:sz w:val="23"/>
          <w:szCs w:val="23"/>
        </w:rPr>
        <w:t>.  A complete and accurate disclosure about the ISP’s privacy practices, if any.  For example, whether any network management practices entail inspection of network traffic, and whether traffic is stored, provided to third parties, or used by the ISP for non-network management purposes.</w:t>
      </w:r>
    </w:p>
    <w:p w:rsidR="004C353F" w:rsidRDefault="004C353F" w:rsidP="004C353F">
      <w:pPr>
        <w:pStyle w:val="ListParagraph"/>
        <w:spacing w:after="0" w:line="240" w:lineRule="auto"/>
        <w:ind w:left="2160"/>
        <w:textAlignment w:val="baseline"/>
        <w:outlineLvl w:val="1"/>
        <w:rPr>
          <w:rFonts w:ascii="Arial" w:eastAsia="Times New Roman" w:hAnsi="Arial" w:cs="Arial"/>
          <w:b/>
          <w:bCs/>
          <w:color w:val="2F5496" w:themeColor="accent1" w:themeShade="BF"/>
          <w:sz w:val="20"/>
          <w:szCs w:val="20"/>
        </w:rPr>
      </w:pPr>
    </w:p>
    <w:p w:rsidR="004A4914" w:rsidRPr="00B73C58" w:rsidRDefault="00F8612D" w:rsidP="004A4914">
      <w:pPr>
        <w:spacing w:after="0" w:line="240" w:lineRule="atLeast"/>
        <w:ind w:left="1440"/>
        <w:textAlignment w:val="baseline"/>
        <w:rPr>
          <w:rFonts w:ascii="Arial" w:eastAsia="Times New Roman" w:hAnsi="Arial" w:cs="Arial"/>
          <w:sz w:val="20"/>
          <w:szCs w:val="20"/>
        </w:rPr>
      </w:pPr>
      <w:r w:rsidRPr="001A03E3">
        <w:rPr>
          <w:rFonts w:ascii="Helvetica" w:eastAsia="Times New Roman" w:hAnsi="Helvetica" w:cs="Helvetica"/>
          <w:iCs/>
          <w:color w:val="2F5496" w:themeColor="accent1" w:themeShade="BF"/>
          <w:sz w:val="23"/>
          <w:szCs w:val="23"/>
        </w:rPr>
        <w:t>Please visit</w:t>
      </w:r>
      <w:r>
        <w:rPr>
          <w:rFonts w:ascii="Arial" w:eastAsia="Times New Roman" w:hAnsi="Arial" w:cs="Arial"/>
          <w:sz w:val="20"/>
          <w:szCs w:val="20"/>
        </w:rPr>
        <w:t xml:space="preserve">: </w:t>
      </w:r>
      <w:hyperlink r:id="rId6" w:history="1">
        <w:r w:rsidR="00F50EC4" w:rsidRPr="00805F66">
          <w:rPr>
            <w:rStyle w:val="Hyperlink"/>
            <w:rFonts w:ascii="Arial" w:eastAsia="Times New Roman" w:hAnsi="Arial" w:cs="Arial"/>
            <w:sz w:val="20"/>
            <w:szCs w:val="20"/>
          </w:rPr>
          <w:t>http://ngn.coop/privacy-policy/</w:t>
        </w:r>
      </w:hyperlink>
      <w:r w:rsidR="00F50EC4">
        <w:rPr>
          <w:rFonts w:ascii="Arial" w:eastAsia="Times New Roman" w:hAnsi="Arial" w:cs="Arial"/>
          <w:sz w:val="20"/>
          <w:szCs w:val="20"/>
        </w:rPr>
        <w:t xml:space="preserve"> </w:t>
      </w:r>
      <w:r>
        <w:rPr>
          <w:rFonts w:ascii="Arial" w:eastAsia="Times New Roman" w:hAnsi="Arial" w:cs="Arial"/>
          <w:sz w:val="20"/>
          <w:szCs w:val="20"/>
        </w:rPr>
        <w:t xml:space="preserve"> </w:t>
      </w:r>
    </w:p>
    <w:p w:rsidR="004A4914" w:rsidRPr="00044E90" w:rsidRDefault="004A4914" w:rsidP="004A4914">
      <w:pPr>
        <w:rPr>
          <w:color w:val="7F7F7F" w:themeColor="text1" w:themeTint="80"/>
          <w:sz w:val="20"/>
          <w:szCs w:val="20"/>
        </w:rPr>
      </w:pPr>
    </w:p>
    <w:p w:rsidR="00B21ABF" w:rsidRPr="004A4914" w:rsidRDefault="00B21ABF" w:rsidP="004A4914">
      <w:pPr>
        <w:spacing w:before="100" w:beforeAutospacing="1" w:after="100" w:afterAutospacing="1" w:line="240" w:lineRule="auto"/>
        <w:ind w:left="1440"/>
        <w:rPr>
          <w:rFonts w:ascii="Helvetica" w:eastAsia="Times New Roman" w:hAnsi="Helvetica" w:cs="Helvetica"/>
          <w:color w:val="222222"/>
          <w:sz w:val="23"/>
          <w:szCs w:val="23"/>
        </w:rPr>
      </w:pPr>
    </w:p>
    <w:p w:rsidR="00B21ABF" w:rsidRDefault="00B21ABF" w:rsidP="00B21ABF">
      <w:pPr>
        <w:numPr>
          <w:ilvl w:val="0"/>
          <w:numId w:val="7"/>
        </w:numPr>
        <w:spacing w:before="100" w:beforeAutospacing="1" w:after="100" w:afterAutospacing="1" w:line="240" w:lineRule="auto"/>
        <w:ind w:left="600"/>
        <w:rPr>
          <w:rFonts w:ascii="Helvetica" w:eastAsia="Times New Roman" w:hAnsi="Helvetica" w:cs="Helvetica"/>
          <w:color w:val="222222"/>
          <w:sz w:val="23"/>
          <w:szCs w:val="23"/>
        </w:rPr>
      </w:pPr>
      <w:r w:rsidRPr="00B21ABF">
        <w:rPr>
          <w:rFonts w:ascii="Helvetica" w:eastAsia="Times New Roman" w:hAnsi="Helvetica" w:cs="Helvetica"/>
          <w:i/>
          <w:iCs/>
          <w:color w:val="222222"/>
          <w:sz w:val="23"/>
          <w:szCs w:val="23"/>
        </w:rPr>
        <w:t>Redress Options</w:t>
      </w:r>
      <w:r w:rsidRPr="00B21ABF">
        <w:rPr>
          <w:rFonts w:ascii="Helvetica" w:eastAsia="Times New Roman" w:hAnsi="Helvetica" w:cs="Helvetica"/>
          <w:color w:val="222222"/>
          <w:sz w:val="23"/>
          <w:szCs w:val="23"/>
        </w:rPr>
        <w:t>.  Practices for resolving complaints and questions from consumers, entrepreneurs, and other small businesses.</w:t>
      </w:r>
    </w:p>
    <w:p w:rsidR="004C353F" w:rsidRPr="004C353F" w:rsidRDefault="00BA5FD9" w:rsidP="004C353F">
      <w:pPr>
        <w:pStyle w:val="NormalWeb"/>
        <w:shd w:val="clear" w:color="auto" w:fill="FFFFFF"/>
        <w:spacing w:before="0" w:beforeAutospacing="0" w:after="300" w:afterAutospacing="0"/>
        <w:ind w:left="2160"/>
        <w:rPr>
          <w:rFonts w:ascii="Arial" w:hAnsi="Arial" w:cs="Arial"/>
          <w:color w:val="2F5496" w:themeColor="accent1" w:themeShade="BF"/>
          <w:sz w:val="20"/>
          <w:szCs w:val="20"/>
          <w:u w:val="single"/>
        </w:rPr>
      </w:pPr>
      <w:r w:rsidRPr="001A03E3">
        <w:rPr>
          <w:rFonts w:ascii="Helvetica" w:hAnsi="Helvetica" w:cs="Helvetica"/>
          <w:iCs/>
          <w:color w:val="2F5496" w:themeColor="accent1" w:themeShade="BF"/>
          <w:sz w:val="23"/>
          <w:szCs w:val="23"/>
        </w:rPr>
        <w:t>Please visit</w:t>
      </w:r>
      <w:r>
        <w:rPr>
          <w:rFonts w:ascii="Arial" w:hAnsi="Arial" w:cs="Arial"/>
          <w:color w:val="2F5496" w:themeColor="accent1" w:themeShade="BF"/>
          <w:sz w:val="20"/>
          <w:szCs w:val="20"/>
          <w:u w:val="single"/>
        </w:rPr>
        <w:t xml:space="preserve">: </w:t>
      </w:r>
      <w:hyperlink r:id="rId7" w:history="1">
        <w:r w:rsidR="001A03E3" w:rsidRPr="00805F66">
          <w:rPr>
            <w:rStyle w:val="Hyperlink"/>
            <w:rFonts w:ascii="Arial" w:hAnsi="Arial" w:cs="Arial"/>
            <w:sz w:val="20"/>
            <w:szCs w:val="20"/>
          </w:rPr>
          <w:t>http://ngn.coop/open-internet-statement/</w:t>
        </w:r>
      </w:hyperlink>
      <w:r w:rsidR="001A03E3">
        <w:rPr>
          <w:rFonts w:ascii="Arial" w:hAnsi="Arial" w:cs="Arial"/>
          <w:color w:val="2F5496" w:themeColor="accent1" w:themeShade="BF"/>
          <w:sz w:val="20"/>
          <w:szCs w:val="20"/>
          <w:u w:val="single"/>
        </w:rPr>
        <w:t xml:space="preserve"> </w:t>
      </w:r>
    </w:p>
    <w:p w:rsidR="0026679F" w:rsidRDefault="0026679F"/>
    <w:sectPr w:rsidR="0026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7B4"/>
    <w:multiLevelType w:val="multilevel"/>
    <w:tmpl w:val="7154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90ED7"/>
    <w:multiLevelType w:val="multilevel"/>
    <w:tmpl w:val="E90E8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0169"/>
    <w:multiLevelType w:val="multilevel"/>
    <w:tmpl w:val="A6D60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942D4"/>
    <w:multiLevelType w:val="multilevel"/>
    <w:tmpl w:val="E9C60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A7331"/>
    <w:multiLevelType w:val="multilevel"/>
    <w:tmpl w:val="FB580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2064E"/>
    <w:multiLevelType w:val="multilevel"/>
    <w:tmpl w:val="39E42D8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7DE1039"/>
    <w:multiLevelType w:val="hybridMultilevel"/>
    <w:tmpl w:val="D7045282"/>
    <w:lvl w:ilvl="0" w:tplc="822C62B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AB0ED3"/>
    <w:multiLevelType w:val="multilevel"/>
    <w:tmpl w:val="DD7C7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12B1A"/>
    <w:multiLevelType w:val="multilevel"/>
    <w:tmpl w:val="8C0ACE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9343EBF"/>
    <w:multiLevelType w:val="multilevel"/>
    <w:tmpl w:val="C2B424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5"/>
  </w:num>
  <w:num w:numId="4">
    <w:abstractNumId w:val="7"/>
  </w:num>
  <w:num w:numId="5">
    <w:abstractNumId w:val="9"/>
  </w:num>
  <w:num w:numId="6">
    <w:abstractNumId w:val="4"/>
  </w:num>
  <w:num w:numId="7">
    <w:abstractNumId w:val="8"/>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F"/>
    <w:rsid w:val="000211D9"/>
    <w:rsid w:val="000930C6"/>
    <w:rsid w:val="001A03E3"/>
    <w:rsid w:val="001A7CE2"/>
    <w:rsid w:val="0026679F"/>
    <w:rsid w:val="004A4914"/>
    <w:rsid w:val="004C353F"/>
    <w:rsid w:val="00637199"/>
    <w:rsid w:val="00691208"/>
    <w:rsid w:val="006A24C3"/>
    <w:rsid w:val="006C3803"/>
    <w:rsid w:val="00893AC2"/>
    <w:rsid w:val="008F10F4"/>
    <w:rsid w:val="009341F5"/>
    <w:rsid w:val="00987D0C"/>
    <w:rsid w:val="009B7A39"/>
    <w:rsid w:val="00B21ABF"/>
    <w:rsid w:val="00B815F4"/>
    <w:rsid w:val="00BA0732"/>
    <w:rsid w:val="00BA5FD9"/>
    <w:rsid w:val="00BC044F"/>
    <w:rsid w:val="00D4685A"/>
    <w:rsid w:val="00EB3EB2"/>
    <w:rsid w:val="00F10DF1"/>
    <w:rsid w:val="00F22AAB"/>
    <w:rsid w:val="00F50EC4"/>
    <w:rsid w:val="00F8612D"/>
    <w:rsid w:val="00FC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450B"/>
  <w15:chartTrackingRefBased/>
  <w15:docId w15:val="{A307A259-E362-4AFE-9E2B-17910101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1ABF"/>
    <w:rPr>
      <w:i/>
      <w:iCs/>
    </w:rPr>
  </w:style>
  <w:style w:type="paragraph" w:styleId="ListParagraph">
    <w:name w:val="List Paragraph"/>
    <w:basedOn w:val="Normal"/>
    <w:uiPriority w:val="34"/>
    <w:qFormat/>
    <w:rsid w:val="009B7A39"/>
    <w:pPr>
      <w:ind w:left="720"/>
      <w:contextualSpacing/>
    </w:pPr>
  </w:style>
  <w:style w:type="character" w:styleId="Hyperlink">
    <w:name w:val="Hyperlink"/>
    <w:basedOn w:val="DefaultParagraphFont"/>
    <w:uiPriority w:val="99"/>
    <w:unhideWhenUsed/>
    <w:rsid w:val="004A4914"/>
    <w:rPr>
      <w:color w:val="0000FF"/>
      <w:u w:val="single"/>
    </w:rPr>
  </w:style>
  <w:style w:type="paragraph" w:styleId="NormalWeb">
    <w:name w:val="Normal (Web)"/>
    <w:basedOn w:val="Normal"/>
    <w:uiPriority w:val="99"/>
    <w:semiHidden/>
    <w:unhideWhenUsed/>
    <w:rsid w:val="004A49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9096">
      <w:bodyDiv w:val="1"/>
      <w:marLeft w:val="0"/>
      <w:marRight w:val="0"/>
      <w:marTop w:val="0"/>
      <w:marBottom w:val="0"/>
      <w:divBdr>
        <w:top w:val="none" w:sz="0" w:space="0" w:color="auto"/>
        <w:left w:val="none" w:sz="0" w:space="0" w:color="auto"/>
        <w:bottom w:val="none" w:sz="0" w:space="0" w:color="auto"/>
        <w:right w:val="none" w:sz="0" w:space="0" w:color="auto"/>
      </w:divBdr>
    </w:div>
    <w:div w:id="977222582">
      <w:bodyDiv w:val="1"/>
      <w:marLeft w:val="0"/>
      <w:marRight w:val="0"/>
      <w:marTop w:val="0"/>
      <w:marBottom w:val="0"/>
      <w:divBdr>
        <w:top w:val="none" w:sz="0" w:space="0" w:color="auto"/>
        <w:left w:val="none" w:sz="0" w:space="0" w:color="auto"/>
        <w:bottom w:val="none" w:sz="0" w:space="0" w:color="auto"/>
        <w:right w:val="none" w:sz="0" w:space="0" w:color="auto"/>
      </w:divBdr>
    </w:div>
    <w:div w:id="15199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gn.coop/open-internet-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n.coop/privacy-policy/" TargetMode="External"/><Relationship Id="rId5" Type="http://schemas.openxmlformats.org/officeDocument/2006/relationships/hyperlink" Target="https://docs.fcc.gov/public/attachments/FCC-17-166A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Foor</dc:creator>
  <cp:keywords/>
  <dc:description/>
  <cp:lastModifiedBy>Michael Foor</cp:lastModifiedBy>
  <cp:revision>2</cp:revision>
  <dcterms:created xsi:type="dcterms:W3CDTF">2018-06-08T18:12:00Z</dcterms:created>
  <dcterms:modified xsi:type="dcterms:W3CDTF">2018-06-08T18:12:00Z</dcterms:modified>
</cp:coreProperties>
</file>